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73" w:rsidRPr="008911D0" w:rsidRDefault="00623E73" w:rsidP="00F42905">
      <w:pPr>
        <w:pStyle w:val="Standard"/>
        <w:jc w:val="both"/>
        <w:rPr>
          <w:rFonts w:ascii="Calibri" w:hAnsi="Calibri"/>
          <w:u w:val="single"/>
        </w:rPr>
      </w:pPr>
      <w:bookmarkStart w:id="0" w:name="_GoBack"/>
      <w:bookmarkEnd w:id="0"/>
    </w:p>
    <w:p w:rsidR="00D81D0A" w:rsidRDefault="00D81D0A" w:rsidP="00D81D0A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D81D0A" w:rsidRDefault="00D81D0A" w:rsidP="00D81D0A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D81D0A" w:rsidRDefault="00D81D0A" w:rsidP="00D81D0A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D81D0A" w:rsidRDefault="00D81D0A" w:rsidP="00D81D0A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D81D0A" w:rsidRDefault="00D81D0A" w:rsidP="00D81D0A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D81D0A" w:rsidRDefault="00D81D0A" w:rsidP="00D81D0A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623E73" w:rsidRPr="00FD0036" w:rsidRDefault="00623E73">
      <w:pPr>
        <w:pStyle w:val="Standard"/>
        <w:spacing w:line="360" w:lineRule="auto"/>
        <w:ind w:firstLine="360"/>
        <w:jc w:val="both"/>
        <w:rPr>
          <w:rFonts w:ascii="Calibri" w:hAnsi="Calibri"/>
          <w:sz w:val="28"/>
          <w:szCs w:val="28"/>
          <w:lang w:val="en-US"/>
        </w:rPr>
      </w:pPr>
    </w:p>
    <w:p w:rsidR="00623E73" w:rsidRPr="00D81D0A" w:rsidRDefault="00353389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D81D0A">
        <w:rPr>
          <w:rFonts w:ascii="Arial Narrow" w:hAnsi="Arial Narrow"/>
          <w:sz w:val="16"/>
          <w:szCs w:val="16"/>
          <w:lang w:val="en-US"/>
        </w:rPr>
        <w:lastRenderedPageBreak/>
        <w:t>…...................…………………………………………….</w:t>
      </w:r>
    </w:p>
    <w:p w:rsidR="00623E73" w:rsidRPr="00D81D0A" w:rsidRDefault="00353389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D81D0A">
        <w:rPr>
          <w:rFonts w:ascii="Arial Narrow" w:hAnsi="Arial Narrow"/>
          <w:i/>
          <w:sz w:val="16"/>
          <w:szCs w:val="16"/>
        </w:rPr>
        <w:t>(nazwa  urzędu / jednostki)</w:t>
      </w:r>
    </w:p>
    <w:p w:rsidR="00623E73" w:rsidRPr="00D81D0A" w:rsidRDefault="00623E73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623E73" w:rsidRPr="00D81D0A" w:rsidRDefault="00353389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D81D0A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623E73" w:rsidRPr="00D81D0A" w:rsidRDefault="00353389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D81D0A">
        <w:rPr>
          <w:rFonts w:ascii="Arial Narrow" w:hAnsi="Arial Narrow"/>
          <w:i/>
          <w:sz w:val="16"/>
          <w:szCs w:val="16"/>
        </w:rPr>
        <w:t>(osoba wypełniająca)</w:t>
      </w:r>
    </w:p>
    <w:p w:rsidR="00623E73" w:rsidRPr="00D81D0A" w:rsidRDefault="00623E73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623E73" w:rsidRPr="00D81D0A" w:rsidRDefault="00353389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D81D0A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623E73" w:rsidRPr="00D81D0A" w:rsidRDefault="00353389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D81D0A">
        <w:rPr>
          <w:rFonts w:ascii="Arial Narrow" w:hAnsi="Arial Narrow"/>
          <w:i/>
          <w:sz w:val="16"/>
          <w:szCs w:val="16"/>
        </w:rPr>
        <w:t>(nr telefonu)</w:t>
      </w:r>
    </w:p>
    <w:p w:rsidR="00623E73" w:rsidRPr="00D81D0A" w:rsidRDefault="00623E73">
      <w:pPr>
        <w:pStyle w:val="Standard"/>
        <w:rPr>
          <w:rFonts w:ascii="Arial Narrow" w:hAnsi="Arial Narrow"/>
          <w:b/>
          <w:sz w:val="16"/>
          <w:szCs w:val="16"/>
        </w:rPr>
      </w:pPr>
    </w:p>
    <w:p w:rsidR="00623E73" w:rsidRPr="00D81D0A" w:rsidRDefault="00623E73">
      <w:pPr>
        <w:pStyle w:val="Standard"/>
        <w:rPr>
          <w:rFonts w:ascii="Arial Narrow" w:hAnsi="Arial Narrow"/>
          <w:b/>
          <w:sz w:val="16"/>
          <w:szCs w:val="16"/>
        </w:rPr>
      </w:pPr>
    </w:p>
    <w:p w:rsidR="00623E73" w:rsidRPr="00D81D0A" w:rsidRDefault="00353389">
      <w:pPr>
        <w:pStyle w:val="Standard"/>
        <w:rPr>
          <w:rFonts w:ascii="Arial Narrow" w:hAnsi="Arial Narrow"/>
        </w:rPr>
      </w:pPr>
      <w:r w:rsidRPr="00D81D0A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D81D0A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623E73" w:rsidRPr="00D81D0A" w:rsidRDefault="00623E73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623E73" w:rsidRPr="00D81D0A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623E73" w:rsidRPr="00D81D0A" w:rsidRDefault="00353389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623E73" w:rsidRPr="00D81D0A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</w:rPr>
            </w:pPr>
            <w:r w:rsidRPr="00D81D0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GOSPODARKA WODNA (W)</w:t>
            </w:r>
          </w:p>
        </w:tc>
      </w:tr>
      <w:tr w:rsidR="00623E73" w:rsidRPr="00D81D0A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E73" w:rsidRPr="00D81D0A" w:rsidRDefault="0035338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81D0A">
              <w:rPr>
                <w:rFonts w:ascii="Arial Narrow" w:hAnsi="Arial Narrow" w:cs="Calibri"/>
                <w:b/>
                <w:sz w:val="20"/>
                <w:szCs w:val="20"/>
              </w:rPr>
              <w:t>W1.  Osiągnięcie i utrzymanie dobrego stanu wód powierzchniowych i podziemnych</w:t>
            </w: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1.1.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3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Opracowanie warunków korzystania z wód regionów wodnych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>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1.2.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3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Opracowanie warunków korzystania z wód zlewni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>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1.3.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3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Organizacja i przeprowadzenie działań informacyjnych i promocyjnych wraz z konsultacjami społecznymi projektu aktualizacji Planu gospodarowania wodami na obszarze dorzeczy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>RZGW, KZGW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1.9.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Weryfikacja obszarów zagrożonych zanieczyszczeniem związkami azotu pochodzących ze źródeł rolniczych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>Okręgowe Stacje Chemiczno-Rolnicze,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E73" w:rsidRPr="00D81D0A" w:rsidRDefault="0035338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81D0A">
              <w:rPr>
                <w:rFonts w:ascii="Arial Narrow" w:hAnsi="Arial Narrow" w:cs="Calibri"/>
                <w:b/>
                <w:sz w:val="20"/>
                <w:szCs w:val="20"/>
              </w:rPr>
              <w:t>W3.   Zwiększenie retencji w zlewniach i ochrona przed skutkami powodzi</w:t>
            </w: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3.1.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Podwyższanie zdolności retencyjnych terenów w zlewni poprzez: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przebudowę systemów melioracji odwadniające na odwadniająco- </w:t>
            </w:r>
            <w:proofErr w:type="spellStart"/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nawadniajacą</w:t>
            </w:r>
            <w:proofErr w:type="spellEnd"/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, umożliwiające regulowane opóźnienie odpływu i w konsekwencji obniżenie zagrożenia powodziowego w dolinie końcowego odbiornika,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zagospodarowanie ścieków i wód opadowych z terenów zurbanizowanych do </w:t>
            </w:r>
            <w:proofErr w:type="spellStart"/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nawodnień</w:t>
            </w:r>
            <w:proofErr w:type="spellEnd"/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terenów zielonych lub przynajmniej umożliwiających ich przetrzymanie i powolny odpływ infiltracyjny poza </w:t>
            </w: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okresem największego zagrożenia,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unikanie nieuzasadnionej regulacji i pogłębiania cieków wodnych skutkujące przyspieszonym spływem wody oraz ryzykiem podtopień w dole zlewni, 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niezagospodarowywanie naturalnych terenów zalewowych rzeki wałami i groblami lub inną zabudowa, wymuszającą później konieczność ich ochrony (utrzymanie maksymalnej pojemności retencyjnej doliny), 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ograniczanie nieprawidłowych praktyk rolniczych zwiększających spływ powierzchniowy (szkolenia dla rolników). 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lastRenderedPageBreak/>
              <w:t>ZMiUW</w:t>
            </w:r>
            <w:proofErr w:type="spellEnd"/>
            <w:r w:rsidRPr="00D81D0A">
              <w:rPr>
                <w:rFonts w:ascii="Arial Narrow" w:hAnsi="Arial Narrow" w:cs="Calibri"/>
                <w:sz w:val="18"/>
                <w:szCs w:val="18"/>
              </w:rPr>
              <w:t xml:space="preserve">, RZGW, gminy, podmioty korzystające z wód, Okręgowe Stacje Chemiczno-Rolnicze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W 3.2.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Opracowanie:</w:t>
            </w:r>
          </w:p>
          <w:p w:rsidR="00623E73" w:rsidRPr="00D81D0A" w:rsidRDefault="00353389">
            <w:pPr>
              <w:pStyle w:val="Akapitzlist"/>
              <w:numPr>
                <w:ilvl w:val="0"/>
                <w:numId w:val="2"/>
              </w:numPr>
              <w:spacing w:after="0"/>
              <w:ind w:left="318" w:hanging="141"/>
              <w:rPr>
                <w:rFonts w:cs="Calibri"/>
                <w:color w:val="000000"/>
                <w:sz w:val="18"/>
                <w:szCs w:val="18"/>
              </w:rPr>
            </w:pPr>
            <w:r w:rsidRPr="00D81D0A">
              <w:rPr>
                <w:rFonts w:cs="Calibri"/>
                <w:color w:val="000000"/>
                <w:sz w:val="18"/>
                <w:szCs w:val="18"/>
              </w:rPr>
              <w:t xml:space="preserve">wstępnej oceny ryzyka powodziowego, </w:t>
            </w:r>
          </w:p>
          <w:p w:rsidR="00623E73" w:rsidRPr="00D81D0A" w:rsidRDefault="00353389">
            <w:pPr>
              <w:pStyle w:val="Akapitzlist"/>
              <w:numPr>
                <w:ilvl w:val="0"/>
                <w:numId w:val="2"/>
              </w:numPr>
              <w:spacing w:after="0"/>
              <w:ind w:left="318" w:hanging="141"/>
              <w:rPr>
                <w:rFonts w:cs="Calibri"/>
                <w:color w:val="000000"/>
                <w:sz w:val="18"/>
                <w:szCs w:val="18"/>
              </w:rPr>
            </w:pPr>
            <w:r w:rsidRPr="00D81D0A">
              <w:rPr>
                <w:rFonts w:cs="Calibri"/>
                <w:color w:val="000000"/>
                <w:sz w:val="18"/>
                <w:szCs w:val="18"/>
              </w:rPr>
              <w:t xml:space="preserve">map zagrożenia powodziowego,  </w:t>
            </w:r>
          </w:p>
          <w:p w:rsidR="00623E73" w:rsidRPr="00D81D0A" w:rsidRDefault="00353389">
            <w:pPr>
              <w:pStyle w:val="Akapitzlist"/>
              <w:numPr>
                <w:ilvl w:val="0"/>
                <w:numId w:val="2"/>
              </w:numPr>
              <w:spacing w:after="0"/>
              <w:ind w:left="318" w:hanging="141"/>
              <w:rPr>
                <w:rFonts w:cs="Calibri"/>
                <w:color w:val="000000"/>
                <w:sz w:val="18"/>
                <w:szCs w:val="18"/>
              </w:rPr>
            </w:pPr>
            <w:r w:rsidRPr="00D81D0A">
              <w:rPr>
                <w:rFonts w:cs="Calibri"/>
                <w:color w:val="000000"/>
                <w:sz w:val="18"/>
                <w:szCs w:val="18"/>
              </w:rPr>
              <w:t>map ryzyka powodziowego,</w:t>
            </w:r>
          </w:p>
          <w:p w:rsidR="00623E73" w:rsidRPr="00D81D0A" w:rsidRDefault="00353389">
            <w:pPr>
              <w:pStyle w:val="Akapitzlist"/>
              <w:numPr>
                <w:ilvl w:val="0"/>
                <w:numId w:val="2"/>
              </w:numPr>
              <w:spacing w:after="0"/>
              <w:ind w:left="318" w:hanging="141"/>
              <w:rPr>
                <w:rFonts w:cs="Calibri"/>
                <w:color w:val="000000"/>
                <w:sz w:val="18"/>
                <w:szCs w:val="18"/>
              </w:rPr>
            </w:pPr>
            <w:r w:rsidRPr="00D81D0A">
              <w:rPr>
                <w:rFonts w:cs="Calibri"/>
                <w:color w:val="000000"/>
                <w:sz w:val="18"/>
                <w:szCs w:val="18"/>
              </w:rPr>
              <w:t xml:space="preserve">planów zarządzania ryzykiem powodziowym na obszarach dorzeczy oraz w regionach wodnych </w:t>
            </w:r>
          </w:p>
          <w:p w:rsidR="00623E73" w:rsidRPr="00D81D0A" w:rsidRDefault="00353389">
            <w:pPr>
              <w:pStyle w:val="Akapitzlist"/>
              <w:numPr>
                <w:ilvl w:val="0"/>
                <w:numId w:val="2"/>
              </w:numPr>
              <w:spacing w:after="0"/>
              <w:ind w:left="318" w:hanging="141"/>
              <w:rPr>
                <w:rFonts w:cs="Calibri"/>
                <w:color w:val="000000"/>
                <w:sz w:val="18"/>
                <w:szCs w:val="18"/>
              </w:rPr>
            </w:pPr>
            <w:r w:rsidRPr="00D81D0A">
              <w:rPr>
                <w:rFonts w:cs="Calibri"/>
                <w:color w:val="000000"/>
                <w:sz w:val="18"/>
                <w:szCs w:val="18"/>
              </w:rPr>
              <w:t>uwzględnienie granic obszarów przedstawionych na mapach zagrożenia i mapach ryzyka pow</w:t>
            </w:r>
            <w:r w:rsidRPr="00D81D0A"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D81D0A">
              <w:rPr>
                <w:rFonts w:cs="Calibri"/>
                <w:color w:val="000000"/>
                <w:sz w:val="18"/>
                <w:szCs w:val="18"/>
              </w:rPr>
              <w:t>dziowego..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 xml:space="preserve">RZGW, KZGW w konsorcjum z IMGW, </w:t>
            </w: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t>GUGiK</w:t>
            </w:r>
            <w:proofErr w:type="spellEnd"/>
            <w:r w:rsidRPr="00D81D0A">
              <w:rPr>
                <w:rFonts w:ascii="Arial Narrow" w:hAnsi="Arial Narrow" w:cs="Calibri"/>
                <w:sz w:val="18"/>
                <w:szCs w:val="18"/>
              </w:rPr>
              <w:t>, RCB i IŁ , gminy,  Marszałek Województwa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3.3.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Utrzymywanie koryt cieków, kanałów i obwałowań w należytym stanie technicznym, remonty budowli wodnych, w tym regulacyjnych, zapewnienie drożności koryt cieków i kanałów, poprawa warunków przepływu wód powodziowych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D81D0A">
              <w:rPr>
                <w:rFonts w:ascii="Arial Narrow" w:hAnsi="Arial Narrow" w:cs="Calibri"/>
                <w:sz w:val="18"/>
                <w:szCs w:val="18"/>
              </w:rPr>
              <w:t>, RZGW, gminy, podmioty korzystające z wód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3.4.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Modernizacja i budowa infrastruktury przeciwpowodziowej oraz zabudowy regulacyjnej m.in. w ramach działań realizacji Programu dla Odry- 2006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 xml:space="preserve">RZGW, </w:t>
            </w: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3.5.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Budowa zbiorników retencyjnych, w tym realizacja Programu małej retencji wodnej województwie lubuskim w tym m.in.: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- budowa zbiorników retencyjnych,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- budowa mniejszych zbiorników i stawów,</w:t>
            </w:r>
          </w:p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- budowa jazów i zastawek oraz przepompowni,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D81D0A">
              <w:rPr>
                <w:rFonts w:ascii="Arial Narrow" w:hAnsi="Arial Narrow" w:cs="Calibri"/>
                <w:sz w:val="18"/>
                <w:szCs w:val="18"/>
              </w:rPr>
              <w:t>, RZGW, gminy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E73" w:rsidRPr="00D81D0A" w:rsidRDefault="0035338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81D0A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W4.   Przywrócenie i ochrona ciągłości ekologicznej rzek</w:t>
            </w: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4.1.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Modernizacja istniejących urządzeń piętrzących poprzez wyposażenie ich w przepławki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D81D0A">
              <w:rPr>
                <w:rFonts w:ascii="Arial Narrow" w:hAnsi="Arial Narrow" w:cs="Calibri"/>
                <w:sz w:val="18"/>
                <w:szCs w:val="18"/>
              </w:rPr>
              <w:t xml:space="preserve">, </w:t>
            </w:r>
          </w:p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>właściwe RZGW, gminy, podmioty korzystające z wód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23E73" w:rsidRPr="00D81D0A">
        <w:trPr>
          <w:trHeight w:val="46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567" w:hanging="56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W 4.3.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>Renaturyzacja</w:t>
            </w:r>
            <w:proofErr w:type="spellEnd"/>
            <w:r w:rsidRPr="00D81D0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koryt i dolin rzecznych, w tym ochrona, zachowanie i przywracanie biotopów oraz naturalnych siedlisk przyrodniczych wodnych i od wód zależnych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D81D0A">
              <w:rPr>
                <w:rFonts w:ascii="Arial Narrow" w:hAnsi="Arial Narrow" w:cs="Calibri"/>
                <w:sz w:val="18"/>
                <w:szCs w:val="18"/>
              </w:rPr>
              <w:t xml:space="preserve">właściwe RZGW, </w:t>
            </w:r>
            <w:proofErr w:type="spellStart"/>
            <w:r w:rsidRPr="00D81D0A">
              <w:rPr>
                <w:rFonts w:ascii="Arial Narrow" w:hAnsi="Arial Narrow" w:cs="Calibri"/>
                <w:sz w:val="18"/>
                <w:szCs w:val="18"/>
              </w:rPr>
              <w:t>ZMiUW</w:t>
            </w:r>
            <w:proofErr w:type="spellEnd"/>
            <w:r w:rsidRPr="00D81D0A">
              <w:rPr>
                <w:rFonts w:ascii="Arial Narrow" w:hAnsi="Arial Narrow" w:cs="Calibri"/>
                <w:sz w:val="18"/>
                <w:szCs w:val="18"/>
              </w:rPr>
              <w:t>, gminy, Lasy Państwowe, organizacje pożytku publicznego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623E73" w:rsidRPr="00D81D0A" w:rsidRDefault="00623E73">
      <w:pPr>
        <w:pStyle w:val="Standard"/>
        <w:rPr>
          <w:rFonts w:ascii="Arial Narrow" w:hAnsi="Arial Narrow"/>
          <w:b/>
          <w:sz w:val="16"/>
          <w:szCs w:val="16"/>
        </w:rPr>
      </w:pPr>
    </w:p>
    <w:p w:rsidR="00623E73" w:rsidRPr="00D81D0A" w:rsidRDefault="00623E73">
      <w:pPr>
        <w:pageBreakBefore/>
        <w:rPr>
          <w:rFonts w:ascii="Arial Narrow" w:hAnsi="Arial Narrow"/>
          <w:b/>
          <w:sz w:val="28"/>
          <w:szCs w:val="28"/>
        </w:rPr>
      </w:pPr>
    </w:p>
    <w:p w:rsidR="00623E73" w:rsidRPr="00D81D0A" w:rsidRDefault="00353389">
      <w:pPr>
        <w:pStyle w:val="Standard"/>
        <w:rPr>
          <w:rFonts w:ascii="Arial Narrow" w:hAnsi="Arial Narrow"/>
        </w:rPr>
      </w:pPr>
      <w:r w:rsidRPr="00D81D0A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D81D0A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84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522"/>
        <w:gridCol w:w="2461"/>
        <w:gridCol w:w="2899"/>
        <w:gridCol w:w="2005"/>
        <w:gridCol w:w="1399"/>
        <w:gridCol w:w="1473"/>
      </w:tblGrid>
      <w:tr w:rsidR="00623E73" w:rsidRPr="00D81D0A">
        <w:trPr>
          <w:trHeight w:val="1264"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623E73" w:rsidRPr="00D81D0A" w:rsidRDefault="00353389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623E73" w:rsidRPr="00D81D0A">
        <w:trPr>
          <w:trHeight w:val="292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623E73" w:rsidRPr="00D81D0A">
        <w:trPr>
          <w:trHeight w:val="293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623E73" w:rsidRPr="00D81D0A">
        <w:trPr>
          <w:trHeight w:val="294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Opracowanie warunków korzystania z wód zlewni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68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1.2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Przegląd i weryfikacja wód wrażliwych i obszarów szczególnie narażonych na zanieczyszczenie  związkami azotu ze źródeł rolniczych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3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Wyznaczanie stref ochronnych ujęć wody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RZGW na wniosek właścicieli ujęć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1385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1.5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Działania podejmowane w celu ograniczenia dopływu zanieczyszczeń związkami azotu pochodzącymi ze źródeł rolniczych: wyposażenie w zbiorniki na gnojowice i pyły obornikowe, budowa biogazowni w celu zagospodarowania nieczystości ciekłych z hodowli, promocja i stosowanie Kodeksu Dobrej Praktyki Rolniczej, promocja i stosowanie "Programu rolnośrodowiskowego" m.in. wspieranie rolnictwa ekologicznego, zastosowanie międzyplonów oraz wsiewek poplonowych, utrzymanie stref buforowych i miedz śródpolnych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ośrodki doradztwa rolniczego, właściciele gospodarstw,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right="4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701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1.7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Rewitalizacja i rekultywacje jezior oraz zagospodarowanie terenów wokół jezior dla potrzeb turystyki i rekreacji w sposób zapewniający ochronę wód jeziornych przed zanieczyszczeniem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jednostki samorządu terytorialnego, parki krajobrazowe, agencje restrukturyzacji rolnictwa,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 xml:space="preserve"> (RZGW),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0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W2</w:t>
            </w:r>
          </w:p>
        </w:tc>
        <w:tc>
          <w:tcPr>
            <w:tcW w:w="1375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 2. Zwiększenie przepustowości koryt rzecznych</w:t>
            </w:r>
          </w:p>
        </w:tc>
      </w:tr>
      <w:tr w:rsidR="00623E73" w:rsidRPr="00D81D0A">
        <w:trPr>
          <w:trHeight w:val="472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Rozsuwanie obwałowań (przeprowadzenie analiz możliwości zwiększenia przepustowości </w:t>
            </w:r>
            <w:r w:rsidRPr="00D81D0A">
              <w:rPr>
                <w:rFonts w:ascii="Arial Narrow" w:hAnsi="Arial Narrow"/>
                <w:sz w:val="20"/>
                <w:szCs w:val="20"/>
              </w:rPr>
              <w:lastRenderedPageBreak/>
              <w:t>przez rozsunięcie lub likwidację obwałowań i realizacja zaprojektowanych rozwiązań)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lastRenderedPageBreak/>
              <w:t xml:space="preserve">RZGW,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>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699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lastRenderedPageBreak/>
              <w:t>W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Opracowywanie koncepcji zabezpieczenia miast i obszarów zagrożonych oraz ich realizacja (budowa kanałów ulgi, budowa obwałowań lub wykorzystywanie przenośnych barier przeciwpowodziowych szczególnie na terenach silnie zurbanizowanych)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jednostki samorządu terytorialnego,</w:t>
            </w:r>
          </w:p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1424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Utrzymywanie właściwego stanu technicznego budowli hydrotechnicznych, urządzeń wodnych, koryt rzecznych, prowadzenie dokładnej ewidencji wszystkich obiektów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>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902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2.5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Utrzymywanie we właściwym stanie obszarów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międzywali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>, nie dopuszczanie do nadmiernego zarastania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>, jednostki samorządu terytorialnego, właściciele gruntów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3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2.6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Odtworzenie i udrożnienie oraz konserwacja systemu melioracji wodnych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 xml:space="preserve"> (RZGW)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0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Zwiększenie retencji (budowa zbiorników wodnych)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RZGW,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>, jednostki samorządu terytorialnego, DLP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1328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2.8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Dostosowanie koryta cieków i nabrzeży, a także sprzętu do prowadzenia akcji lodołamania zwiększającej przepustowość koryt w okresie występowania zjawisk lodowych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3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2.9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Aktualizacja MZP i MRP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KZGW,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2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 3</w:t>
            </w:r>
          </w:p>
        </w:tc>
        <w:tc>
          <w:tcPr>
            <w:tcW w:w="1375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 3. Ograniczenie wrażliwości terenów zagrożonych powodzią</w:t>
            </w:r>
          </w:p>
        </w:tc>
      </w:tr>
      <w:tr w:rsidR="00623E73" w:rsidRPr="00D81D0A">
        <w:trPr>
          <w:trHeight w:val="700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3.3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Określenie warunków technicznych na podstawie których można lokalizować obiekty budowlane na obszarach zagrożonych powodzią i na obszarach zagrożonych </w:t>
            </w:r>
            <w:r w:rsidRPr="00D81D0A">
              <w:rPr>
                <w:rFonts w:ascii="Arial Narrow" w:hAnsi="Arial Narrow"/>
                <w:sz w:val="20"/>
                <w:szCs w:val="20"/>
              </w:rPr>
              <w:lastRenderedPageBreak/>
              <w:t>możliwością przerwania wałów podczas wystąpienia powodzi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lastRenderedPageBreak/>
              <w:t>KZGW, RZGW, jednostki samorządu terytorialnego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0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lastRenderedPageBreak/>
              <w:t>W 4</w:t>
            </w:r>
          </w:p>
        </w:tc>
        <w:tc>
          <w:tcPr>
            <w:tcW w:w="1375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W 4. Ograniczanie wrażliwości terenów zagrożonych suszą</w:t>
            </w:r>
          </w:p>
        </w:tc>
      </w:tr>
      <w:tr w:rsidR="00623E73" w:rsidRPr="00D81D0A">
        <w:trPr>
          <w:trHeight w:val="294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4.1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Wykonanie Planów przeciwdziałania skutkom suszy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KZGW,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W 4.2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Przebudowa systemów melioracji na systemy odwadniająco – nawadniające w zależności od warunków hydrologicznych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 xml:space="preserve"> (RZGW)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290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OP 7</w:t>
            </w:r>
          </w:p>
        </w:tc>
        <w:tc>
          <w:tcPr>
            <w:tcW w:w="598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OP 7. Ochrona krajobrazu oraz ochrona korytarzy ekologicznych</w:t>
            </w:r>
          </w:p>
        </w:tc>
        <w:tc>
          <w:tcPr>
            <w:tcW w:w="777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698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OP 7.2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Zachowanie naturalnego charakteru dolin rzecznych w celu utrzymania drożności korytarzy ekologicznych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623E73" w:rsidRPr="00D81D0A" w:rsidRDefault="00353389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699"/>
        </w:trPr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OP 7.3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Utrzymywanie, ochrona i odtworzenie korytarzy ekologicznych oraz przeciwdziałanie fragmentacji przestrzeni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D81D0A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D81D0A">
              <w:rPr>
                <w:rFonts w:ascii="Arial Narrow" w:hAnsi="Arial Narrow"/>
                <w:sz w:val="20"/>
                <w:szCs w:val="20"/>
              </w:rPr>
              <w:t xml:space="preserve"> (RZGW), Jednostki samorządu</w:t>
            </w:r>
          </w:p>
          <w:p w:rsidR="00623E73" w:rsidRPr="00D81D0A" w:rsidRDefault="00353389">
            <w:pPr>
              <w:pStyle w:val="Standard"/>
              <w:spacing w:line="254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3E73" w:rsidRPr="00D81D0A" w:rsidRDefault="00623E73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623E73" w:rsidRPr="00D81D0A" w:rsidRDefault="00353389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  <w:r w:rsidRPr="00D81D0A">
        <w:rPr>
          <w:rFonts w:ascii="Arial Narrow" w:hAnsi="Arial Narrow"/>
          <w:b/>
          <w:bCs/>
          <w:sz w:val="28"/>
          <w:szCs w:val="28"/>
        </w:rPr>
        <w:lastRenderedPageBreak/>
        <w:t>Tabela 3. Realizacja zadań z zakresu ochrony środowiska w latach 2016-2018 nieujętych w POŚ</w:t>
      </w:r>
    </w:p>
    <w:p w:rsidR="00623E73" w:rsidRPr="00D81D0A" w:rsidRDefault="00623E73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623E73" w:rsidRPr="00D81D0A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623E73" w:rsidRPr="00D81D0A" w:rsidRDefault="00353389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623E73" w:rsidRPr="00D81D0A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1D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E73" w:rsidRPr="00D81D0A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353389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1D0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E73" w:rsidRPr="00D81D0A" w:rsidRDefault="00623E73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3E73" w:rsidRPr="00D81D0A" w:rsidRDefault="00623E73">
      <w:pPr>
        <w:pStyle w:val="Standard"/>
        <w:rPr>
          <w:rFonts w:ascii="Arial Narrow" w:hAnsi="Arial Narrow"/>
        </w:rPr>
      </w:pPr>
    </w:p>
    <w:sectPr w:rsidR="00623E73" w:rsidRPr="00D81D0A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AD" w:rsidRDefault="007B10AD">
      <w:r>
        <w:separator/>
      </w:r>
    </w:p>
  </w:endnote>
  <w:endnote w:type="continuationSeparator" w:id="0">
    <w:p w:rsidR="007B10AD" w:rsidRDefault="007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F4" w:rsidRDefault="0035338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9343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AD" w:rsidRDefault="007B10AD">
      <w:r>
        <w:rPr>
          <w:color w:val="000000"/>
        </w:rPr>
        <w:separator/>
      </w:r>
    </w:p>
  </w:footnote>
  <w:footnote w:type="continuationSeparator" w:id="0">
    <w:p w:rsidR="007B10AD" w:rsidRDefault="007B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DA" w:rsidRPr="00D81D0A" w:rsidRDefault="00693ADA" w:rsidP="00693ADA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D81D0A">
      <w:rPr>
        <w:rFonts w:ascii="Arial Narrow" w:hAnsi="Arial Narrow"/>
        <w:b/>
        <w:bCs/>
        <w:sz w:val="22"/>
        <w:szCs w:val="22"/>
      </w:rPr>
      <w:t>ANKIETA dotycząca realizacji „</w:t>
    </w:r>
    <w:r w:rsidRPr="00D81D0A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D81D0A">
      <w:rPr>
        <w:rFonts w:ascii="Arial Narrow" w:hAnsi="Arial Narrow"/>
        <w:b/>
        <w:kern w:val="0"/>
        <w:sz w:val="22"/>
        <w:szCs w:val="22"/>
      </w:rPr>
      <w:t>”</w:t>
    </w:r>
  </w:p>
  <w:p w:rsidR="004619F4" w:rsidRPr="00BC573A" w:rsidRDefault="007B10AD" w:rsidP="00BC5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BA"/>
    <w:multiLevelType w:val="multilevel"/>
    <w:tmpl w:val="4404C8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BCF6E15"/>
    <w:multiLevelType w:val="multilevel"/>
    <w:tmpl w:val="F6688B52"/>
    <w:lvl w:ilvl="0">
      <w:numFmt w:val="bullet"/>
      <w:lvlText w:val="-"/>
      <w:lvlJc w:val="left"/>
      <w:pPr>
        <w:ind w:left="766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3E73"/>
    <w:rsid w:val="002846F2"/>
    <w:rsid w:val="00353389"/>
    <w:rsid w:val="004424F4"/>
    <w:rsid w:val="00623E73"/>
    <w:rsid w:val="0069343E"/>
    <w:rsid w:val="00693ADA"/>
    <w:rsid w:val="007B10AD"/>
    <w:rsid w:val="008911D0"/>
    <w:rsid w:val="00942EDC"/>
    <w:rsid w:val="00BC573A"/>
    <w:rsid w:val="00D81D0A"/>
    <w:rsid w:val="00E77F69"/>
    <w:rsid w:val="00F10229"/>
    <w:rsid w:val="00F42905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BC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rPr>
      <w:rFonts w:ascii="Arial Narrow" w:eastAsia="Calibri" w:hAnsi="Arial Narrow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BC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2019-05-24T11:46:00Z</dcterms:created>
  <dcterms:modified xsi:type="dcterms:W3CDTF">2019-05-24T11:46:00Z</dcterms:modified>
</cp:coreProperties>
</file>